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
        <w:t>ANONYMIZED PORTFOLIO SAMPLE — Client, funder, location, personnel, selected dates, statistics, and financial figures have been changed.</w:t>
      </w:r>
    </w:p>
    <w:p w14:paraId="46E4223C" w14:textId="77777777">
      <w:pPr>
        <w:spacing w:after="80"/>
        <w:jc w:val="center"/>
      </w:pPr>
      <w:r>
        <w:rPr>
          <w:rFonts w:ascii="Aptos Display" w:eastAsia="Aptos Display" w:hAnsi="Aptos Display"/>
          <w:b/>
          <w:color w:val="324C37"/>
          <w:sz w:val="44"/>
        </w:rPr>
        <w:t>Historic Community Church HVAC Project</w:t>
      </w:r>
    </w:p>
    <w:p w14:paraId="39022606" w14:textId="77777777">
      <w:pPr>
        <w:spacing w:after="240"/>
        <w:jc w:val="center"/>
      </w:pPr>
      <w:r>
        <w:rPr>
          <w:color w:val="5F4A31"/>
          <w:sz w:val="22"/>
        </w:rPr>
        <w:t>Private Family Foundation | Rural Community Support Grants</w:t>
      </w:r>
    </w:p>
    <w:p w14:paraId="22797FEF" w14:textId="77777777">
      <w:pPr>
        <w:spacing w:after="240"/>
        <w:jc w:val="center"/>
      </w:pPr>
    </w:p>
    <w:tbl>
      <w:tblPr>
        <w:tblW w:w="0" w:type="auto"/>
        <w:jc w:val="center"/>
        <w:tblLook w:val="04A0" w:firstRow="1" w:lastRow="0" w:firstColumn="1" w:lastColumn="0" w:noHBand="0" w:noVBand="1"/>
      </w:tblPr>
      <w:tblGrid>
        <w:gridCol w:w="10080"/>
      </w:tblGrid>
      <w:tr w14:paraId="3823FC5B" w14:textId="77777777">
        <w:trPr>
          <w:jc w:val="center"/>
        </w:trPr>
        <w:tc>
          <w:tcPr>
            <w:tcW w:w="10080" w:type="dxa"/>
            <w:shd w:val="clear" w:color="auto" w:fill="EDE6D6"/>
            <w:vAlign w:val="center"/>
          </w:tcPr>
          <w:p w14:paraId="2A2DBFCE" w14:textId="77777777">
            <w:pPr>
              <w:spacing w:after="0"/>
            </w:pPr>
            <w:r>
              <w:rPr>
                <w:b/>
                <w:color w:val="324C37"/>
              </w:rPr>
              <w:t xml:space="preserve">APPLICATION RESPONSES - </w:t>
            </w:r>
          </w:p>
        </w:tc>
      </w:tr>
    </w:tbl>
    <w:tbl>
      <w:tblPr>
        <w:tblStyle w:val="TableGrid"/>
        <w:tblW w:w="0" w:type="auto"/>
        <w:jc w:val="center"/>
        <w:tblLook w:val="04A0" w:firstRow="1" w:lastRow="0" w:firstColumn="1" w:lastColumn="0" w:noHBand="0" w:noVBand="1"/>
      </w:tblPr>
      <w:tblGrid>
        <w:gridCol w:w="3356"/>
        <w:gridCol w:w="4649"/>
        <w:gridCol w:w="2065"/>
      </w:tblGrid>
      <w:tr w14:paraId="2E71D9B3" w14:textId="77777777">
        <w:trPr>
          <w:jc w:val="center"/>
        </w:trPr>
        <w:tc>
          <w:tcPr>
            <w:tcW w:w="3356" w:type="dxa"/>
            <w:shd w:val="clear" w:color="auto" w:fill="324C37"/>
          </w:tcPr>
          <w:p w14:paraId="57950394" w14:textId="77777777">
            <w:pPr>
              <w:spacing w:after="0"/>
            </w:pPr>
            <w:r>
              <w:rPr>
                <w:b/>
                <w:color w:val="FFFFFF"/>
                <w:sz w:val="18"/>
              </w:rPr>
              <w:t>Portal Field</w:t>
            </w:r>
          </w:p>
        </w:tc>
        <w:tc>
          <w:tcPr>
            <w:tcW w:w="4649" w:type="dxa"/>
            <w:shd w:val="clear" w:color="auto" w:fill="324C37"/>
          </w:tcPr>
          <w:p w14:paraId="0AB71A6A" w14:textId="77777777">
            <w:pPr>
              <w:spacing w:after="0"/>
            </w:pPr>
            <w:r>
              <w:rPr>
                <w:b/>
                <w:color w:val="FFFFFF"/>
                <w:sz w:val="18"/>
              </w:rPr>
              <w:t>Draft Response</w:t>
            </w:r>
          </w:p>
        </w:tc>
        <w:tc>
          <w:tcPr>
            <w:tcW w:w="2065" w:type="dxa"/>
            <w:shd w:val="clear" w:color="auto" w:fill="324C37"/>
          </w:tcPr>
          <w:p w14:paraId="2D7CF939" w14:textId="77777777">
            <w:pPr>
              <w:spacing w:after="0"/>
            </w:pPr>
            <w:r>
              <w:rPr>
                <w:b/>
                <w:color w:val="FFFFFF"/>
                <w:sz w:val="18"/>
              </w:rPr>
              <w:t>Character Count / Limit</w:t>
            </w:r>
          </w:p>
        </w:tc>
      </w:tr>
      <w:tr w14:paraId="7E8FECBB" w14:textId="77777777">
        <w:trPr>
          <w:jc w:val="center"/>
        </w:trPr>
        <w:tc>
          <w:tcPr>
            <w:tcW w:w="3356" w:type="dxa"/>
            <w:shd w:val="clear" w:color="auto" w:fill="EDE6D6"/>
          </w:tcPr>
          <w:p w14:paraId="60B96145" w14:textId="77777777">
            <w:pPr>
              <w:spacing w:after="0"/>
            </w:pPr>
            <w:r>
              <w:rPr>
                <w:b/>
                <w:color w:val="324C37"/>
                <w:sz w:val="17"/>
              </w:rPr>
              <w:t>Eligibility</w:t>
            </w:r>
          </w:p>
        </w:tc>
        <w:tc>
          <w:tcPr>
            <w:tcW w:w="4649" w:type="dxa"/>
          </w:tcPr>
          <w:p w14:paraId="42D58B94" w14:textId="77777777">
            <w:pPr>
              <w:spacing w:after="0"/>
            </w:pPr>
            <w:r>
              <w:rPr>
                <w:sz w:val="17"/>
              </w:rPr>
              <w:t>Yes. Heritage Preservation Foundation provides services in the service county, one of the eligible counties in the funder’s service region. Our most recent application to the Foundation was submitted more than twelve months ago, so we are eligible to apply under the Foundation’s one-application-per-year policy.</w:t>
            </w:r>
          </w:p>
        </w:tc>
        <w:tc>
          <w:tcPr>
            <w:tcW w:w="2065" w:type="dxa"/>
          </w:tcPr>
          <w:p w14:paraId="15587BBE" w14:textId="77777777">
            <w:pPr>
              <w:spacing w:after="0"/>
            </w:pPr>
            <w:r>
              <w:rPr>
                <w:sz w:val="17"/>
              </w:rPr>
              <w:t>N/A</w:t>
            </w:r>
          </w:p>
        </w:tc>
      </w:tr>
      <w:tr w14:paraId="799B60EF" w14:textId="77777777">
        <w:trPr>
          <w:jc w:val="center"/>
        </w:trPr>
        <w:tc>
          <w:tcPr>
            <w:tcW w:w="3356" w:type="dxa"/>
            <w:shd w:val="clear" w:color="auto" w:fill="EDE6D6"/>
          </w:tcPr>
          <w:p w14:paraId="7279B16D" w14:textId="77777777">
            <w:pPr>
              <w:spacing w:after="0"/>
            </w:pPr>
            <w:r>
              <w:rPr>
                <w:b/>
                <w:color w:val="324C37"/>
                <w:sz w:val="17"/>
              </w:rPr>
              <w:t>Grant Project Name</w:t>
            </w:r>
          </w:p>
        </w:tc>
        <w:tc>
          <w:tcPr>
            <w:tcW w:w="4649" w:type="dxa"/>
          </w:tcPr>
          <w:p w14:paraId="4198873A" w14:textId="77777777">
            <w:pPr>
              <w:spacing w:after="0"/>
            </w:pPr>
            <w:r>
              <w:rPr>
                <w:sz w:val="17"/>
              </w:rPr>
              <w:t>Historic Community Church HVAC Project</w:t>
            </w:r>
          </w:p>
        </w:tc>
        <w:tc>
          <w:tcPr>
            <w:tcW w:w="2065" w:type="dxa"/>
          </w:tcPr>
          <w:p w14:paraId="138893D0" w14:textId="77777777">
            <w:pPr>
              <w:spacing w:after="0"/>
            </w:pPr>
            <w:r>
              <w:t>Within limit</w:t>
            </w:r>
          </w:p>
        </w:tc>
      </w:tr>
      <w:tr w14:paraId="515AF239" w14:textId="77777777">
        <w:trPr>
          <w:jc w:val="center"/>
        </w:trPr>
        <w:tc>
          <w:tcPr>
            <w:tcW w:w="3356" w:type="dxa"/>
            <w:shd w:val="clear" w:color="auto" w:fill="EDE6D6"/>
          </w:tcPr>
          <w:p w14:paraId="58E2B0E0" w14:textId="77777777">
            <w:pPr>
              <w:spacing w:after="0"/>
            </w:pPr>
            <w:r>
              <w:rPr>
                <w:b/>
                <w:color w:val="324C37"/>
                <w:sz w:val="17"/>
              </w:rPr>
              <w:t>Total Amount of Request</w:t>
            </w:r>
          </w:p>
        </w:tc>
        <w:tc>
          <w:tcPr>
            <w:tcW w:w="4649" w:type="dxa"/>
          </w:tcPr>
          <w:p w14:paraId="0BA86B8D" w14:textId="77777777">
            <w:pPr>
              <w:spacing w:after="0"/>
            </w:pPr>
            <w:r>
              <w:rPr>
                <w:sz w:val="17"/>
              </w:rPr>
              <w:t>$120,000</w:t>
            </w:r>
          </w:p>
        </w:tc>
        <w:tc>
          <w:tcPr>
            <w:tcW w:w="2065" w:type="dxa"/>
          </w:tcPr>
          <w:p w14:paraId="5732C275" w14:textId="77777777">
            <w:pPr>
              <w:spacing w:after="0"/>
            </w:pPr>
            <w:r>
              <w:t>Within limit</w:t>
            </w:r>
          </w:p>
        </w:tc>
      </w:tr>
      <w:tr w14:paraId="209F424A" w14:textId="77777777">
        <w:trPr>
          <w:jc w:val="center"/>
        </w:trPr>
        <w:tc>
          <w:tcPr>
            <w:tcW w:w="3356" w:type="dxa"/>
            <w:shd w:val="clear" w:color="auto" w:fill="EDE6D6"/>
          </w:tcPr>
          <w:p w14:paraId="290B47E1" w14:textId="77777777">
            <w:pPr>
              <w:spacing w:after="0"/>
            </w:pPr>
            <w:r>
              <w:rPr>
                <w:b/>
                <w:color w:val="324C37"/>
                <w:sz w:val="17"/>
              </w:rPr>
              <w:t>Total Amount of Project</w:t>
            </w:r>
          </w:p>
        </w:tc>
        <w:tc>
          <w:tcPr>
            <w:tcW w:w="4649" w:type="dxa"/>
          </w:tcPr>
          <w:p w14:paraId="30D14E0B" w14:textId="77777777">
            <w:pPr>
              <w:spacing w:after="0"/>
            </w:pPr>
            <w:r>
              <w:rPr>
                <w:sz w:val="17"/>
              </w:rPr>
              <w:t>$245,000</w:t>
            </w:r>
          </w:p>
        </w:tc>
        <w:tc>
          <w:tcPr>
            <w:tcW w:w="2065" w:type="dxa"/>
          </w:tcPr>
          <w:p w14:paraId="68ABC486" w14:textId="77777777">
            <w:pPr>
              <w:spacing w:after="0"/>
            </w:pPr>
            <w:r>
              <w:t>Within limit</w:t>
            </w:r>
          </w:p>
        </w:tc>
      </w:tr>
      <w:tr w14:paraId="4EA7B4BC" w14:textId="77777777">
        <w:trPr>
          <w:jc w:val="center"/>
        </w:trPr>
        <w:tc>
          <w:tcPr>
            <w:tcW w:w="3356" w:type="dxa"/>
            <w:shd w:val="clear" w:color="auto" w:fill="EDE6D6"/>
          </w:tcPr>
          <w:p w14:paraId="18BEE328" w14:textId="77777777">
            <w:pPr>
              <w:spacing w:after="0"/>
            </w:pPr>
            <w:r>
              <w:rPr>
                <w:b/>
                <w:color w:val="324C37"/>
                <w:sz w:val="17"/>
              </w:rPr>
              <w:t>Details of Request Amount</w:t>
            </w:r>
          </w:p>
        </w:tc>
        <w:tc>
          <w:tcPr>
            <w:tcW w:w="4649" w:type="dxa"/>
          </w:tcPr>
          <w:p w14:paraId="6E1D39F0" w14:textId="77777777">
            <w:r>
              <w:t>Single-year capital request. The $120,000 request supports the confirmed $245,000 HVAC installation. A regional private foundation request for HVAC and a regional development council request for related public-readiness  are in process.</w:t>
            </w:r>
            <w:proofErr w:type="gramStart"/>
            <w:r/>
            <w:proofErr w:type="gramEnd"/>
            <w:r/>
          </w:p>
        </w:tc>
        <w:tc>
          <w:tcPr>
            <w:tcW w:w="2065" w:type="dxa"/>
          </w:tcPr>
          <w:p w14:paraId="7244A62B" w14:textId="77777777">
            <w:r>
              <w:t>Within limit</w:t>
            </w:r>
          </w:p>
        </w:tc>
      </w:tr>
      <w:tr w14:paraId="2FA59CA1" w14:textId="77777777">
        <w:trPr>
          <w:jc w:val="center"/>
        </w:trPr>
        <w:tc>
          <w:tcPr>
            <w:tcW w:w="3356" w:type="dxa"/>
            <w:shd w:val="clear" w:color="auto" w:fill="EDE6D6"/>
          </w:tcPr>
          <w:p w14:paraId="12CD668B" w14:textId="77777777">
            <w:pPr>
              <w:spacing w:after="0"/>
            </w:pPr>
            <w:r>
              <w:rPr>
                <w:b/>
                <w:color w:val="324C37"/>
                <w:sz w:val="17"/>
              </w:rPr>
              <w:t>Type of Grant</w:t>
            </w:r>
          </w:p>
        </w:tc>
        <w:tc>
          <w:tcPr>
            <w:tcW w:w="4649" w:type="dxa"/>
          </w:tcPr>
          <w:p w14:paraId="6CE39898" w14:textId="77777777">
            <w:pPr>
              <w:spacing w:after="0"/>
            </w:pPr>
            <w:r>
              <w:rPr>
                <w:sz w:val="17"/>
              </w:rPr>
              <w:t>Capital Campaign</w:t>
            </w:r>
          </w:p>
        </w:tc>
        <w:tc>
          <w:tcPr>
            <w:tcW w:w="2065" w:type="dxa"/>
          </w:tcPr>
          <w:p w14:paraId="7261DE9A" w14:textId="77777777">
            <w:pPr>
              <w:spacing w:after="0"/>
            </w:pPr>
            <w:r>
              <w:rPr>
                <w:sz w:val="17"/>
              </w:rPr>
              <w:t>N/A</w:t>
            </w:r>
          </w:p>
        </w:tc>
      </w:tr>
      <w:tr w14:paraId="6C076A8A" w14:textId="77777777">
        <w:trPr>
          <w:jc w:val="center"/>
        </w:trPr>
        <w:tc>
          <w:tcPr>
            <w:tcW w:w="3356" w:type="dxa"/>
            <w:shd w:val="clear" w:color="auto" w:fill="EDE6D6"/>
          </w:tcPr>
          <w:p w14:paraId="7F768881" w14:textId="77777777">
            <w:pPr>
              <w:spacing w:after="0"/>
            </w:pPr>
            <w:r>
              <w:rPr>
                <w:b/>
                <w:color w:val="324C37"/>
                <w:sz w:val="17"/>
              </w:rPr>
              <w:t>Focus Area</w:t>
            </w:r>
          </w:p>
        </w:tc>
        <w:tc>
          <w:tcPr>
            <w:tcW w:w="4649" w:type="dxa"/>
          </w:tcPr>
          <w:p w14:paraId="015FA9AA" w14:textId="77777777">
            <w:pPr>
              <w:spacing w:after="0"/>
            </w:pPr>
            <w:r>
              <w:rPr>
                <w:sz w:val="17"/>
              </w:rPr>
              <w:t>Strengthening Strategic Community Assets</w:t>
            </w:r>
          </w:p>
        </w:tc>
        <w:tc>
          <w:tcPr>
            <w:tcW w:w="2065" w:type="dxa"/>
          </w:tcPr>
          <w:p w14:paraId="4DFC8858" w14:textId="77777777">
            <w:pPr>
              <w:spacing w:after="0"/>
            </w:pPr>
            <w:r>
              <w:rPr>
                <w:sz w:val="17"/>
              </w:rPr>
              <w:t>N/A</w:t>
            </w:r>
          </w:p>
        </w:tc>
      </w:tr>
      <w:tr w14:paraId="503FB5CB" w14:textId="77777777">
        <w:trPr>
          <w:jc w:val="center"/>
        </w:trPr>
        <w:tc>
          <w:tcPr>
            <w:tcW w:w="3356" w:type="dxa"/>
            <w:shd w:val="clear" w:color="auto" w:fill="EDE6D6"/>
          </w:tcPr>
          <w:p w14:paraId="738F1BE0" w14:textId="77777777">
            <w:pPr>
              <w:spacing w:after="0"/>
            </w:pPr>
            <w:r>
              <w:rPr>
                <w:b/>
                <w:color w:val="324C37"/>
                <w:sz w:val="17"/>
              </w:rPr>
              <w:t>Geographic Areas</w:t>
            </w:r>
          </w:p>
        </w:tc>
        <w:tc>
          <w:tcPr>
            <w:tcW w:w="4649" w:type="dxa"/>
          </w:tcPr>
          <w:p w14:paraId="542D6838" w14:textId="77777777">
            <w:pPr>
              <w:spacing w:after="0"/>
            </w:pPr>
            <w:r>
              <w:rPr>
                <w:sz w:val="17"/>
              </w:rPr>
              <w:t>The service county</w:t>
            </w:r>
          </w:p>
        </w:tc>
        <w:tc>
          <w:tcPr>
            <w:tcW w:w="2065" w:type="dxa"/>
          </w:tcPr>
          <w:p w14:paraId="6D041252" w14:textId="77777777">
            <w:pPr>
              <w:spacing w:after="0"/>
            </w:pPr>
            <w:r>
              <w:rPr>
                <w:sz w:val="17"/>
              </w:rPr>
              <w:t>N/A</w:t>
            </w:r>
          </w:p>
        </w:tc>
      </w:tr>
      <w:tr w14:paraId="32488970" w14:textId="77777777">
        <w:trPr>
          <w:jc w:val="center"/>
        </w:trPr>
        <w:tc>
          <w:tcPr>
            <w:tcW w:w="3356" w:type="dxa"/>
            <w:shd w:val="clear" w:color="auto" w:fill="EDE6D6"/>
          </w:tcPr>
          <w:p w14:paraId="372E1D11" w14:textId="77777777">
            <w:pPr>
              <w:spacing w:after="0"/>
            </w:pPr>
            <w:r>
              <w:rPr>
                <w:b/>
                <w:color w:val="324C37"/>
                <w:sz w:val="17"/>
              </w:rPr>
              <w:t>Verification of 501(c)(3) Status</w:t>
            </w:r>
          </w:p>
        </w:tc>
        <w:tc>
          <w:tcPr>
            <w:tcW w:w="4649" w:type="dxa"/>
          </w:tcPr>
          <w:p w14:paraId="7F1DD35D" w14:textId="77777777">
            <w:pPr>
              <w:spacing w:after="0"/>
            </w:pPr>
            <w:r>
              <w:rPr>
                <w:sz w:val="17"/>
              </w:rPr>
              <w:t>We have our own independent 501(c)(3) status.</w:t>
            </w:r>
          </w:p>
        </w:tc>
        <w:tc>
          <w:tcPr>
            <w:tcW w:w="2065" w:type="dxa"/>
          </w:tcPr>
          <w:p w14:paraId="36428DD9" w14:textId="77777777">
            <w:pPr>
              <w:spacing w:after="0"/>
            </w:pPr>
            <w:r>
              <w:rPr>
                <w:sz w:val="17"/>
              </w:rPr>
              <w:t>N/A</w:t>
            </w:r>
          </w:p>
        </w:tc>
      </w:tr>
    </w:tbl>
    <w:p w14:paraId="23CD4BBB" w14:textId="77777777">
      <w:pPr>
        <w:spacing w:before="180" w:after="40"/>
      </w:pPr>
      <w:r>
        <w:rPr>
          <w:b/>
          <w:color w:val="324C37"/>
          <w:sz w:val="22"/>
        </w:rPr>
        <w:t>Brief Description of Program</w:t>
      </w:r>
    </w:p>
    <w:p w14:paraId="28370B70" w14:textId="77777777">
      <w:pPr>
        <w:spacing w:after="120"/>
      </w:pPr>
      <w:r>
        <w:rPr>
          <w:sz w:val="19"/>
        </w:rPr>
        <w:t>On a low rise above the confluence of the two regional rivers stands the historic church, a mid-nineteenth-century wood-frame church in what was then the historic townsite, the state’s early capital. It is one of only a handful of original structures left from that vanished capital city, and its life since has traced the region’s larger history: Episcopal services through the turn of the century, decades of use by Black congregants and, later, a local Baptist congregation, and a period when its sanctuary doubled as a schoolhouse for Black children in the service county at a time when the county’s segregated school system left the great majority of its Black schools without adequate buildings of their own. More than a decade ago, through a Foundation-led effort, the church came home to Regional Heritage Park, where it has been undergoing careful restoration ever since.</w:t>
      </w:r>
      <w:proofErr w:type="spellStart"/>
      <w:r>
        <w:rPr>
          <w:sz w:val="19"/>
        </w:rPr>
      </w:r>
      <w:proofErr w:type="spellEnd"/>
      <w:r>
        <w:rPr>
          <w:sz w:val="19"/>
        </w:rPr>
      </w:r>
      <w:proofErr w:type="spellStart"/>
      <w:r>
        <w:rPr>
          <w:sz w:val="19"/>
        </w:rPr>
      </w:r>
      <w:proofErr w:type="spellEnd"/>
      <w:r>
        <w:rPr>
          <w:sz w:val="19"/>
        </w:rPr>
      </w:r>
    </w:p>
    <w:p w14:paraId="62BE7E02" w14:textId="77777777">
      <w:pPr>
        <w:spacing w:after="120"/>
      </w:pPr>
      <w:r>
        <w:rPr>
          <w:sz w:val="19"/>
        </w:rPr>
        <w:t>That restoration has come a long way. Support from several regional, private, and family foundations and other donors — plus 100% giving participation from the Heritage Preservation Foundation’s own board — has stabilized the building envelope and restored its historic windows. The heritage park already uses the church for the park’s summer archaeological field school, tours, descendant gatherings, and community events whenever weather allows.</w:t>
      </w:r>
      <w:proofErr w:type="spellStart"/>
      <w:r>
        <w:rPr>
          <w:sz w:val="19"/>
        </w:rPr>
      </w:r>
      <w:proofErr w:type="spellEnd"/>
      <w:r>
        <w:rPr>
          <w:sz w:val="19"/>
        </w:rPr>
      </w:r>
    </w:p>
    <w:p w14:paraId="40F50704" w14:textId="77777777">
      <w:pPr>
        <w:spacing w:after="120"/>
      </w:pPr>
      <w:r>
        <w:rPr>
          <w:sz w:val="19"/>
        </w:rPr>
        <w:t>That last qualifier is the problem this grant solves. The historic church has no HVAC system, and the service county’s long, humid summers routinely make the building unsafe or unworkable for the very programming it was restored to support — multiple field school sessions have already had to be rescheduled because indoor temperatures were too high. A functioning climate-control system is the single remaining piece of infrastructure standing between the historic church as a preserved historic shell and the historic church as a fully usable public heritage and education space, open to field school students, school tours, descendant families, and the public year-round.</w:t>
      </w:r>
    </w:p>
    <w:p w14:paraId="131AFAB3" w14:textId="77777777">
      <w:r>
        <w:t>Heritage Preservation Foundation now has a bid cost of $245,000 for the HVAC installation. We are requesting $120,000 from the Private Family Foundation toward this project. A regional private foundation request for HVAC and a regional development council request for related public-readiness work are in process. This aligns with the funder’s Strengthening Strategic Community Assets focus area. Heritage Preservation Foundation will coordinate awards and private fundraising so restricted HVAC support does not exceed the project cost.</w:t>
      </w:r>
    </w:p>
    <w:p w14:paraId="0D105B21" w14:textId="77777777">
      <w:pPr>
        <w:spacing w:before="180" w:after="40"/>
      </w:pPr>
      <w:r>
        <w:rPr>
          <w:b/>
          <w:color w:val="324C37"/>
          <w:sz w:val="22"/>
        </w:rPr>
        <w:t>Agency Background/Mission/Scope of Work</w:t>
      </w:r>
    </w:p>
    <w:p w14:paraId="49E0C155" w14:textId="77777777">
      <w:pPr>
        <w:spacing w:after="120"/>
      </w:pPr>
      <w:r>
        <w:rPr>
          <w:sz w:val="19"/>
        </w:rPr>
        <w:t>The Heritage Preservation Foundation is an established 501(c)(3) nonprofit founded more than a decade ago by residents with deep, often generations-old ties to the heritage park — the site where the state convened its first permanent state government before the capital moved on to other locations. Situated at the confluence of the two regional rivers near the surrounding rural area in the service county, the heritage park later became a center of rural region cotton agriculture, and by the twentieth century the townsite itself had largely been reclaimed by fields and forest. The State Historical Agency now owns and manages the property as a state archaeological park; Heritage Preservation Foundation exists to raise the private philanthropic support the park cannot fund through state appropriations alone.</w:t>
      </w:r>
      <w:proofErr w:type="spellStart"/>
      <w:r>
        <w:rPr>
          <w:sz w:val="19"/>
        </w:rPr>
      </w:r>
      <w:proofErr w:type="spellEnd"/>
      <w:r>
        <w:rPr>
          <w:sz w:val="19"/>
        </w:rPr>
      </w:r>
      <w:proofErr w:type="spellStart"/>
      <w:r>
        <w:rPr>
          <w:sz w:val="19"/>
        </w:rPr>
      </w:r>
      <w:proofErr w:type="spellEnd"/>
      <w:r>
        <w:rPr>
          <w:sz w:val="19"/>
        </w:rPr>
      </w:r>
    </w:p>
    <w:p w14:paraId="4E65B537" w14:textId="77777777">
      <w:pPr>
        <w:spacing w:after="120"/>
      </w:pPr>
      <w:r>
        <w:rPr>
          <w:sz w:val="19"/>
        </w:rPr>
        <w:t>For more than a decade, the Foundation has worked to Remember, Reclaim, and Restore the heritage park: purchasing privately held historic lots to bring them under permanent protection, supporting the archaeological research that continues to reveal the site’s layered history (including recent discoveries connected to a historically significant archaeological site), improving visitor access and interpretation, and funding preservation of the park’s few remaining historic structures.</w:t>
      </w:r>
      <w:proofErr w:type="spellStart"/>
      <w:r>
        <w:rPr>
          <w:sz w:val="19"/>
        </w:rPr>
      </w:r>
      <w:proofErr w:type="spellEnd"/>
      <w:r>
        <w:rPr>
          <w:sz w:val="19"/>
        </w:rPr>
      </w:r>
    </w:p>
    <w:p w14:paraId="2EE5E8EE" w14:textId="77777777">
      <w:pPr>
        <w:spacing w:after="120"/>
      </w:pPr>
      <w:r>
        <w:rPr>
          <w:sz w:val="19"/>
        </w:rPr>
        <w:t>The historic church is the most significant of those structures, and the most complicated. Originally raised in the nineteenth century for an Episcopal congregation, the building was later relocated and used by several faith communities. In subsequent decades, the building passed to Black congregants and, later to a local Baptist congregation, serving a Black farming community in the rural service county. For a period during the era of segregated public education — when historical surveys documented severe inequities in facilities serving Black students, and contemporary research documented widespread use of churches as classrooms because dedicated school buildings were unavailable — the historic church sanctuary itself served as a schoolhouse. Deacons who attended as children later recalled those classes to the heritage park’s staff historian. The building was listed on the National Register of Historic Places.</w:t>
      </w:r>
      <w:proofErr w:type="spellStart"/>
      <w:r>
        <w:rPr>
          <w:sz w:val="19"/>
        </w:rPr>
      </w:r>
      <w:proofErr w:type="spellEnd"/>
      <w:r>
        <w:rPr>
          <w:sz w:val="19"/>
        </w:rPr>
      </w:r>
      <w:proofErr w:type="spellStart"/>
      <w:r>
        <w:rPr>
          <w:sz w:val="19"/>
        </w:rPr>
      </w:r>
      <w:proofErr w:type="spellEnd"/>
      <w:r>
        <w:rPr>
          <w:sz w:val="19"/>
        </w:rPr>
      </w:r>
    </w:p>
    <w:p w14:paraId="4525C628" w14:textId="77777777">
      <w:r>
        <w:rPr>
          <w:sz w:val="19"/>
        </w:rPr>
        <w:t>More than a decade ago, a Foundation-led effort — assisted by a university preservation program — returned the historic church to Regional Heritage Park, where it was reassembled near the park entrance and has remained a focal point of preservation and interpretation work ever since. Today, the Heritage Preservation Foundation’s scope of work centers on finishing that restoration so the historic church can serve not only as a preserved landmark but as the heritage park’s only large indoor space — one capable of hosting the field school, school tours, descendant reunions, and public programs that connect visitors to this site’s full history, from the state’s early government to the enslaved and free Black families whose descendants still gather there today.</w:t>
      </w:r>
      <w:proofErr w:type="spellStart"/>
      <w:r>
        <w:rPr>
          <w:sz w:val="19"/>
        </w:rPr>
      </w:r>
      <w:proofErr w:type="spellEnd"/>
      <w:r>
        <w:rPr>
          <w:sz w:val="19"/>
        </w:rPr>
      </w:r>
      <w:proofErr w:type="spellStart"/>
      <w:r>
        <w:rPr>
          <w:sz w:val="19"/>
        </w:rPr>
      </w:r>
      <w:proofErr w:type="spellEnd"/>
      <w:r>
        <w:rPr>
          <w:sz w:val="19"/>
        </w:rPr>
      </w:r>
    </w:p>
    <w:p w14:paraId="552FC240" w14:textId="77777777">
      <w:pPr>
        <w:spacing w:before="180" w:after="40"/>
      </w:pPr>
      <w:r>
        <w:rPr>
          <w:b/>
          <w:color w:val="324C37"/>
          <w:sz w:val="22"/>
        </w:rPr>
        <w:t>Detailed Proposal of the Project</w:t>
      </w:r>
    </w:p>
    <w:p w14:paraId="288BB07B" w14:textId="77777777">
      <w:pPr>
        <w:spacing w:after="120"/>
      </w:pPr>
      <w:r>
        <w:rPr>
          <w:sz w:val="19"/>
        </w:rPr>
        <w:t>The Regional Heritage Park is one of the rural region’s most significant heritage destinations, drawing about 20,000 visitors a year — school groups, heritage tourists, researchers, descendant families, and rural region residents — to the site of the state’s early capital. Yet for a park built around outdoor ruins and archaeological remains, the historic church is the only large indoor structure on the property, and it is not yet reliably usable: without climate control, the service county’s long, humid season makes the building unsafe for sustained indoor programming much of the year.</w:t>
      </w:r>
      <w:proofErr w:type="spellStart"/>
      <w:r>
        <w:rPr>
          <w:sz w:val="19"/>
        </w:rPr>
      </w:r>
      <w:proofErr w:type="spellEnd"/>
      <w:r>
        <w:rPr>
          <w:sz w:val="19"/>
        </w:rPr>
      </w:r>
    </w:p>
    <w:p w14:paraId="11FE184E" w14:textId="77777777">
      <w:pPr>
        <w:spacing w:after="120"/>
      </w:pPr>
      <w:r>
        <w:rPr>
          <w:sz w:val="19"/>
        </w:rPr>
        <w:t>This need is not hypothetical. The heritage park is already using the historic church for its new summer archaeological field school, which brings approximately 50–60 students annually to dig alongside park staff and expand ongoing discoveries such as a historically significant archaeological site. But without HVAC, field school days inside the church have repeatedly had to be rescheduled when indoor temperatures became unsafe for sustained work—undermining the very programming the building was restored to support.</w:t>
      </w:r>
      <w:proofErr w:type="spellStart"/>
      <w:r>
        <w:rPr>
          <w:sz w:val="19"/>
        </w:rPr>
      </w:r>
      <w:proofErr w:type="spellEnd"/>
      <w:r>
        <w:rPr>
          <w:sz w:val="19"/>
        </w:rPr>
      </w:r>
    </w:p>
    <w:p w14:paraId="5BF735F6" w14:textId="77777777">
      <w:pPr>
        <w:spacing w:after="120"/>
      </w:pPr>
      <w:r>
        <w:rPr>
          <w:sz w:val="19"/>
        </w:rPr>
        <w:t>This project completes the single infrastructure gap that separates the historic church, as it stands today, from the historic church as a year-round public and educational asset. A confirmed, contractor-bid $245,000 HVAC installation—geothermal heat pump equipment, distribution, and controls sized for the historic structure—will make the building’s interior usable in all seasons, supporting field school instruction, school tours, descendant gatherings, historical interpretation, and community events.</w:t>
      </w:r>
    </w:p>
    <w:p w14:paraId="35DDFF1A" w14:textId="77777777">
      <w:pPr>
        <w:spacing w:after="120"/>
      </w:pPr>
      <w:r>
        <w:rPr>
          <w:sz w:val="19"/>
        </w:rPr>
        <w:t>The case for this investment goes beyond comfort. The historic church is a physical link to two distinct and equally important layers of rural region history: the state’s early government, and the Black families — many enslaved, later free tenant farmers and Baptist congregants — whose worship, schooling, and community life the same walls also held. Reliable indoor space lets the heritage park tell both stories fully, including through its active program connecting descendants of the historic townsite’s free and enslaved residents back to the site.</w:t>
      </w:r>
      <w:proofErr w:type="spellStart"/>
      <w:r>
        <w:rPr>
          <w:sz w:val="19"/>
        </w:rPr>
      </w:r>
      <w:proofErr w:type="spellEnd"/>
      <w:r>
        <w:rPr>
          <w:sz w:val="19"/>
        </w:rPr>
      </w:r>
      <w:proofErr w:type="spellStart"/>
      <w:r>
        <w:rPr>
          <w:sz w:val="19"/>
        </w:rPr>
      </w:r>
      <w:proofErr w:type="spellEnd"/>
      <w:r>
        <w:rPr>
          <w:sz w:val="19"/>
        </w:rPr>
      </w:r>
    </w:p>
    <w:p w14:paraId="20904F08" w14:textId="77777777">
      <w:r>
        <w:t>Heritage Preservation Foundation requests $120,000 from the Private Family Foundation toward the $245,000 bid. A separate regional private foundation HVAC request and a regional development council request for related public-readiness work are in process. Heritage Preservation Foundation will coordinate awards and private fundraising so restricted HVAC support does not exceed the project cost.</w:t>
      </w:r>
      <w:r/>
    </w:p>
    <w:p w14:paraId="5B349D6D" w14:textId="77777777">
      <w:pPr>
        <w:spacing w:before="180" w:after="40"/>
      </w:pPr>
      <w:r>
        <w:rPr>
          <w:b/>
          <w:color w:val="324C37"/>
          <w:sz w:val="22"/>
        </w:rPr>
        <w:t>Timeline for the Project</w:t>
      </w:r>
    </w:p>
    <w:p w14:paraId="6456AAEA" w14:textId="77777777">
      <w:pPr>
        <w:spacing w:after="120"/>
      </w:pPr>
      <w:r>
        <w:rPr>
          <w:sz w:val="19"/>
        </w:rPr>
        <w:t>The historic church restoration has proceeded in phases, beginning with stabilization of the building envelope and restoration of its historic windows, which were completed in a prior phase. This HVAC phase is the next and most consequential step in that effort:</w:t>
      </w:r>
    </w:p>
    <w:p w14:paraId="6BE7B576" w14:textId="77777777">
      <w:pPr>
        <w:spacing w:after="120"/>
      </w:pPr>
      <w:r>
        <w:rPr>
          <w:sz w:val="19"/>
        </w:rPr>
        <w:t>Month 1: Confirm funding strategy, secure grant commitments, finalize State Historical Agency coordination/authorization, and confirm contractor schedule.</w:t>
      </w:r>
    </w:p>
    <w:p w14:paraId="332963A2" w14:textId="77777777">
      <w:pPr>
        <w:spacing w:after="120"/>
      </w:pPr>
      <w:r>
        <w:rPr>
          <w:sz w:val="19"/>
        </w:rPr>
        <w:t>Months 2–3: Complete final pre-installation planning, review HVAC scope with project team, coordinate preservation requirements, and prepare the building for installation.</w:t>
      </w:r>
    </w:p>
    <w:p w14:paraId="55E009C1" w14:textId="77777777">
      <w:pPr>
        <w:spacing w:after="120"/>
      </w:pPr>
      <w:r>
        <w:rPr>
          <w:sz w:val="19"/>
        </w:rPr>
        <w:t>Months 4–7: Begin HVAC installation once funding is secured and contractor scheduling is finalized. Work may include equipment procurement, ductwork, controls, electrical coordination, installation, and site protection appropriate to a historic structure.</w:t>
      </w:r>
    </w:p>
    <w:p w14:paraId="0EE30B08" w14:textId="77777777">
      <w:pPr>
        <w:spacing w:after="120"/>
      </w:pPr>
      <w:r>
        <w:rPr>
          <w:sz w:val="19"/>
        </w:rPr>
        <w:t>Months 7–10: Complete installation, testing, commissioning, and any punch-list items. Coordinate with the heritage park staff on public-use readiness and maintenance procedures.</w:t>
      </w:r>
      <w:proofErr w:type="spellStart"/>
      <w:r>
        <w:rPr>
          <w:sz w:val="19"/>
        </w:rPr>
      </w:r>
      <w:proofErr w:type="spellEnd"/>
      <w:r>
        <w:rPr>
          <w:sz w:val="19"/>
        </w:rPr>
      </w:r>
    </w:p>
    <w:p w14:paraId="372AE42F" w14:textId="77777777">
      <w:r>
        <w:rPr>
          <w:sz w:val="19"/>
        </w:rPr>
        <w:t>Months 10–12: Begin expanded year-round use of the historic church for field school instruction, tours, interpretation, descendant visits, and other public or educational activities. Final timing will depend on funding award dates, contractor availability, and preservation review requirements.</w:t>
      </w:r>
    </w:p>
    <w:p w14:paraId="0380B459" w14:textId="77777777">
      <w:pPr>
        <w:spacing w:before="180" w:after="40"/>
      </w:pPr>
      <w:r>
        <w:rPr>
          <w:b/>
          <w:color w:val="324C37"/>
          <w:sz w:val="22"/>
        </w:rPr>
        <w:t>Key Personnel</w:t>
      </w:r>
    </w:p>
    <w:p w14:paraId="60394345" w14:textId="77777777">
      <w:pPr>
        <w:spacing w:after="120"/>
      </w:pPr>
      <w:r>
        <w:rPr>
          <w:sz w:val="19"/>
        </w:rPr>
        <w:t xml:space="preserve">This project draws on the same team that has guided the historic church restoration through its recent phases. A preservation architect is overseeing design and preservation-sensitive planning for the HVAC installation, ensuring new systems meet the standards required for a National Register-listed structure. </w:t>
      </w:r>
    </w:p>
    <w:p w14:paraId="0FD68BCE" w14:textId="77777777">
      <w:pPr>
        <w:spacing w:after="120"/>
      </w:pPr>
      <w:r>
        <w:rPr>
          <w:sz w:val="19"/>
        </w:rPr>
        <w:t>The Heritage Park Site Director, who also serves on the Foundation’s board, will coordinate the project with park operations, ensuring the completed system meets the practical needs of field school instruction, tours, and public programming, and that the agency’s preservation and oversight requirements are met throughout construction.</w:t>
      </w:r>
      <w:proofErr w:type="spellStart"/>
      <w:r>
        <w:rPr>
          <w:sz w:val="19"/>
        </w:rPr>
      </w:r>
      <w:proofErr w:type="spellEnd"/>
      <w:r>
        <w:rPr>
          <w:sz w:val="19"/>
        </w:rPr>
      </w:r>
    </w:p>
    <w:p w14:paraId="34BE1A3B" w14:textId="77777777">
      <w:r>
        <w:rPr>
          <w:sz w:val="19"/>
        </w:rPr>
        <w:t>The Foundation Board President provides overall project governance and fundraising leadership. A designated project manager will oversee implementation, coordinating work among the architect, contractor, park staff, and State Historical Agency. The Foundation’s board, which has achieved 100% participation in supporting the restoration, will oversee financial stewardship and grant compliance.</w:t>
      </w:r>
    </w:p>
    <w:p w14:paraId="7C010C57" w14:textId="77777777">
      <w:pPr>
        <w:spacing w:before="180" w:after="40"/>
      </w:pPr>
      <w:r>
        <w:rPr>
          <w:b/>
          <w:color w:val="324C37"/>
          <w:sz w:val="22"/>
        </w:rPr>
        <w:t>Participant Demographics</w:t>
      </w:r>
    </w:p>
    <w:p w14:paraId="68D35A4A" w14:textId="77777777">
      <w:pPr>
        <w:spacing w:after="120"/>
      </w:pPr>
      <w:r>
        <w:rPr>
          <w:sz w:val="19"/>
        </w:rPr>
        <w:t>The heritage park welcomes about 20,000 visitors a year, a mix of rural region residents, school groups, university students, heritage tourists, and researchers. The service county itself is rural and majority-Black, where a substantial share of residents experience poverty — among the more economically challenged counties the funder serves in the rural region.</w:t>
      </w:r>
      <w:proofErr w:type="spellStart"/>
      <w:r>
        <w:rPr>
          <w:sz w:val="19"/>
        </w:rPr>
      </w:r>
      <w:proofErr w:type="spellEnd"/>
      <w:r>
        <w:rPr>
          <w:sz w:val="19"/>
        </w:rPr>
      </w:r>
    </w:p>
    <w:p w14:paraId="0F3BBDED" w14:textId="77777777">
      <w:pPr>
        <w:spacing w:after="120"/>
      </w:pPr>
      <w:r>
        <w:rPr>
          <w:sz w:val="19"/>
        </w:rPr>
        <w:t>The historic church carries particular weight for this community: after its original Episcopal congregation departed, the building served Black tenant farmers and later a local Baptist congregation, and for a period its sanctuary doubled as a schoolhouse for Black children in a county where historical surveys documented severe inequities in facilities serving Black students. Descendants of that congregation, along with descendants of the historic townsite’s free and enslaved residents more broadly, remain connected to the site through the park’s active descendant program, returning for tours and family reunions at the church.</w:t>
      </w:r>
      <w:proofErr w:type="spellStart"/>
      <w:r>
        <w:rPr>
          <w:sz w:val="19"/>
        </w:rPr>
      </w:r>
      <w:proofErr w:type="spellEnd"/>
      <w:r>
        <w:rPr>
          <w:sz w:val="19"/>
        </w:rPr>
      </w:r>
    </w:p>
    <w:p w14:paraId="01F1D5F0" w14:textId="77777777">
      <w:r>
        <w:rPr>
          <w:sz w:val="19"/>
        </w:rPr>
        <w:t>The restored building will also serve approximately 50–60 students annually through the archaeological field school, alongside school tours, interpretation programs, descendant gatherings, and public events that already draw rural region families and students to the park.</w:t>
      </w:r>
    </w:p>
    <w:p w14:paraId="35A90B70" w14:textId="77777777">
      <w:pPr>
        <w:spacing w:before="180" w:after="40"/>
        <w:rPr>
          <w:b/>
          <w:color w:val="324C37"/>
          <w:sz w:val="22"/>
        </w:rPr>
      </w:pPr>
    </w:p>
    <w:p w14:paraId="3128AAD2" w14:textId="77777777">
      <w:pPr>
        <w:spacing w:before="180" w:after="40"/>
      </w:pPr>
      <w:r>
        <w:rPr>
          <w:b/>
          <w:color w:val="324C37"/>
          <w:sz w:val="22"/>
        </w:rPr>
        <w:lastRenderedPageBreak/>
        <w:t>Collaboration / Other Organizations</w:t>
      </w:r>
    </w:p>
    <w:p w14:paraId="0242CD9D" w14:textId="77777777">
      <w:pPr>
        <w:spacing w:after="120"/>
      </w:pPr>
      <w:r>
        <w:rPr>
          <w:sz w:val="19"/>
        </w:rPr>
        <w:t>State Historical Agency: Owns and manages Regional Heritage Park and the historic church, and will provide site oversight, preservation coordination, and long-term operational alignment.</w:t>
      </w:r>
      <w:proofErr w:type="spellStart"/>
      <w:r>
        <w:rPr>
          <w:sz w:val="19"/>
        </w:rPr>
      </w:r>
      <w:proofErr w:type="spellEnd"/>
      <w:r>
        <w:rPr>
          <w:sz w:val="19"/>
        </w:rPr>
      </w:r>
    </w:p>
    <w:p w14:paraId="57D6B0D0" w14:textId="77777777">
      <w:pPr>
        <w:spacing w:after="120"/>
      </w:pPr>
      <w:r>
        <w:rPr>
          <w:sz w:val="19"/>
        </w:rPr>
        <w:t>Regional Heritage Park staff: Led by the Site Director, the park will coordinate use of the historic church for field school instruction, tours, interpretation, and public programming.</w:t>
      </w:r>
      <w:proofErr w:type="spellStart"/>
      <w:r>
        <w:rPr>
          <w:sz w:val="19"/>
        </w:rPr>
      </w:r>
      <w:proofErr w:type="spellEnd"/>
      <w:r>
        <w:rPr>
          <w:sz w:val="19"/>
        </w:rPr>
      </w:r>
    </w:p>
    <w:p w14:paraId="624A0D4A" w14:textId="77777777">
      <w:pPr>
        <w:spacing w:after="120"/>
      </w:pPr>
      <w:r>
        <w:rPr>
          <w:sz w:val="19"/>
        </w:rPr>
        <w:t>Heritage Preservation Foundation: Raises private support, manages grant coordination, and works with the state agency and park leadership to advance restoration and public-readiness priorities.</w:t>
      </w:r>
    </w:p>
    <w:p w14:paraId="4DECC5D2" w14:textId="77777777">
      <w:pPr>
        <w:spacing w:after="120"/>
      </w:pPr>
      <w:r>
        <w:rPr>
          <w:sz w:val="19"/>
        </w:rPr>
        <w:t>Regional Chamber of Commerce and Tourism Office: Supports the park as part of the region's tourism and heritage infrastructure.</w:t>
      </w:r>
    </w:p>
    <w:p w14:paraId="0F6DDF63" w14:textId="77777777">
      <w:pPr>
        <w:spacing w:after="120"/>
      </w:pPr>
      <w:proofErr w:type="spellStart"/>
      <w:r>
        <w:rPr>
          <w:sz w:val="19"/>
        </w:rPr>
        <w:t>Heritage Park Advisory Committee and longtime local supporters, including longtime local donors and volunteers: Provide guidance, advocacy, and direct financial contributions toward this HVAC phase.</w:t>
      </w:r>
      <w:proofErr w:type="spellEnd"/>
      <w:r>
        <w:rPr>
          <w:sz w:val="19"/>
        </w:rPr>
      </w:r>
      <w:proofErr w:type="spellStart"/>
      <w:r>
        <w:rPr>
          <w:sz w:val="19"/>
        </w:rPr>
      </w:r>
      <w:proofErr w:type="spellEnd"/>
      <w:r>
        <w:rPr>
          <w:sz w:val="19"/>
        </w:rPr>
      </w:r>
    </w:p>
    <w:p w14:paraId="051F8121" w14:textId="77777777">
      <w:pPr>
        <w:rPr>
          <w:sz w:val="19"/>
        </w:rPr>
      </w:pPr>
      <w:r>
        <w:rPr>
          <w:sz w:val="19"/>
        </w:rPr>
        <w:t>A university preservation program previously provided assistance connected to the return of the historic church to the heritage park. The current HVAC phase builds on this long-term collaborative preservation effort.</w:t>
      </w:r>
      <w:proofErr w:type="spellStart"/>
      <w:r>
        <w:rPr>
          <w:sz w:val="19"/>
        </w:rPr>
      </w:r>
      <w:proofErr w:type="spellEnd"/>
      <w:r>
        <w:rPr>
          <w:sz w:val="19"/>
        </w:rPr>
      </w:r>
    </w:p>
    <w:p w14:paraId="24A99041" w14:textId="77777777"/>
    <w:p w14:paraId="180FC91C" w14:textId="77777777">
      <w:pPr>
        <w:spacing w:before="180" w:after="40"/>
      </w:pPr>
      <w:r>
        <w:rPr>
          <w:b/>
          <w:color w:val="324C37"/>
          <w:sz w:val="22"/>
        </w:rPr>
        <w:t>Program Sustainability</w:t>
      </w:r>
    </w:p>
    <w:p w14:paraId="7658653B" w14:textId="77777777">
      <w:pPr>
        <w:spacing w:after="120"/>
      </w:pPr>
      <w:r>
        <w:t>The $120,000 request is one component of a diversified funding strategy for the confirmed $245,000 HVAC installation. A separate request has been submitted to a regional private foundation for the HVAC phase, while a regional development council request supports related public-readiness work at the historic church; both applications are currently in process. The historic church restoration has already drawn support from multiple foundations and individual donors, with approximately $120,000 raised in recent years, including 100% Heritage Preservation Foundation board participation. This HVAC phase continues that shared funding approach rather than relying on a single source.</w:t>
      </w:r>
    </w:p>
    <w:p w14:paraId="38307EBF" w14:textId="77777777">
      <w:pPr>
        <w:spacing w:after="120"/>
      </w:pPr>
      <w:r>
        <w:rPr>
          <w:sz w:val="19"/>
        </w:rPr>
        <w:t>The HVAC system is a one-time capital investment that will make the historic church usable for public and educational purposes. Earned income from event rentals is expected to cover utilities, routine maintenance, and HVAC service agreements. When operating costs exceed earned income, Heritage Preservation Foundation and the State Historical Agency will provide support as appropriate, based on the nature of the expense and their respective responsibilities.</w:t>
      </w:r>
    </w:p>
    <w:p w14:paraId="377B3809" w14:textId="77777777">
      <w:r>
        <w:rPr>
          <w:sz w:val="19"/>
        </w:rPr>
        <w:t>Heritage Preservation Foundation will continue cultivating donors and grantmakers for the historic church’s remaining public-access needs, including interpretation, visitor readiness, future preservation work, and long-term stewardship.</w:t>
      </w:r>
      <w:proofErr w:type="spellStart"/>
      <w:r>
        <w:rPr>
          <w:sz w:val="19"/>
        </w:rPr>
      </w:r>
      <w:proofErr w:type="spellEnd"/>
      <w:r>
        <w:rPr>
          <w:sz w:val="19"/>
        </w:rPr>
      </w:r>
    </w:p>
    <w:p w14:paraId="0D217229" w14:textId="77777777">
      <w:pPr>
        <w:spacing w:before="180" w:after="40"/>
      </w:pPr>
      <w:r>
        <w:rPr>
          <w:b/>
          <w:color w:val="324C37"/>
          <w:sz w:val="22"/>
        </w:rPr>
        <w:t>Evaluation: Indicators and Metrics</w:t>
      </w:r>
    </w:p>
    <w:p w14:paraId="4D2AB444" w14:textId="77777777">
      <w:pPr>
        <w:spacing w:after="120"/>
      </w:pPr>
      <w:r>
        <w:rPr>
          <w:sz w:val="19"/>
        </w:rPr>
        <w:t>Baseline conditions are clear: the historic church currently lacks HVAC, which limits safe and reliable use during the state’s hot and humid months. The park is already using the building for educational activities, but multiple summer field school days have had to be rescheduled because temperatures were too high for work to be completed inside the church.</w:t>
      </w:r>
    </w:p>
    <w:p w14:paraId="7A527F9F" w14:textId="77777777">
      <w:pPr>
        <w:spacing w:after="120"/>
      </w:pPr>
      <w:r>
        <w:rPr>
          <w:sz w:val="19"/>
        </w:rPr>
        <w:t>Short-term success will be measured by completion of HVAC installation, successful testing and commissioning of the system, and confirmation that the building can be used safely during warmer months. Heritage Preservation Foundation and the heritage park staff will track project milestones, contractor completion, and readiness for program use.</w:t>
      </w:r>
      <w:proofErr w:type="spellStart"/>
      <w:r>
        <w:rPr>
          <w:sz w:val="19"/>
        </w:rPr>
      </w:r>
      <w:proofErr w:type="spellEnd"/>
      <w:r>
        <w:rPr>
          <w:sz w:val="19"/>
        </w:rPr>
      </w:r>
    </w:p>
    <w:p w14:paraId="49F6FEAE" w14:textId="77777777">
      <w:pPr>
        <w:spacing w:after="120"/>
      </w:pPr>
      <w:r>
        <w:rPr>
          <w:sz w:val="19"/>
        </w:rPr>
        <w:t>Program-use indicators will include field school days held without heat-related rescheduling; the number of tours, school visits, public programs, descendant gatherings, and rentals using the building; and student and visitor participation. The heritage park staff will collect attendance and use data through existing park records, program logs, and event tracking. Heritage Preservation Foundation will use this information for grant reporting, maintenance planning, and future fundraising.</w:t>
      </w:r>
      <w:proofErr w:type="spellStart"/>
      <w:r>
        <w:rPr>
          <w:sz w:val="19"/>
        </w:rPr>
      </w:r>
      <w:proofErr w:type="spellEnd"/>
      <w:r>
        <w:rPr>
          <w:sz w:val="19"/>
        </w:rPr>
      </w:r>
    </w:p>
    <w:p w14:paraId="23954615" w14:textId="77777777">
      <w:r>
        <w:rPr>
          <w:sz w:val="19"/>
        </w:rPr>
        <w:t>Long-term success will be shown when the historic church is no longer a seasonally limited historic structure, but a reliable public heritage, education, and gathering space at the heritage park.</w:t>
      </w:r>
      <w:proofErr w:type="spellStart"/>
      <w:r>
        <w:rPr>
          <w:sz w:val="19"/>
        </w:rPr>
      </w:r>
      <w:proofErr w:type="spellEnd"/>
      <w:r>
        <w:rPr>
          <w:sz w:val="19"/>
        </w:rPr>
      </w:r>
    </w:p>
    <w:p w14:paraId="30AE6A8C" w14:textId="77777777">
      <w:pPr>
        <w:spacing w:before="180" w:after="40"/>
        <w:rPr>
          <w:b/>
          <w:color w:val="324C37"/>
          <w:sz w:val="22"/>
        </w:rPr>
      </w:pPr>
    </w:p>
    <w:p w14:paraId="2E3A4B50" w14:textId="77777777">
      <w:pPr>
        <w:spacing w:before="180" w:after="40"/>
        <w:rPr>
          <w:b/>
          <w:color w:val="324C37"/>
          <w:sz w:val="22"/>
        </w:rPr>
      </w:pPr>
    </w:p>
    <w:p w14:paraId="0D67F65C" w14:textId="77777777">
      <w:pPr>
        <w:spacing w:before="180" w:after="40"/>
      </w:pPr>
      <w:r>
        <w:rPr>
          <w:b/>
          <w:color w:val="324C37"/>
          <w:sz w:val="22"/>
        </w:rPr>
        <w:lastRenderedPageBreak/>
        <w:t>Program Sponsors</w:t>
      </w:r>
    </w:p>
    <w:p w14:paraId="35462647" w14:textId="77777777">
      <w:pPr>
        <w:spacing w:after="120"/>
      </w:pPr>
      <w:r>
        <w:rPr>
          <w:sz w:val="19"/>
        </w:rPr>
        <w:t>Confirmed and prior support for the historic church restoration and public-readiness work has included several regional, private, family, and community foundations, individual donors, and 100% participation from the Heritage Preservation Foundation Board. Board members also contributed toward architectural and engineering design work.</w:t>
      </w:r>
    </w:p>
    <w:p w14:paraId="5F373BBF" w14:textId="77777777">
      <w:pPr>
        <w:spacing w:after="120"/>
      </w:pPr>
      <w:r>
        <w:t>For the current HVAC scope, Heritage Preservation Foundation is seeking a $120,000 contribution from the Private Family Foundation toward the confirmed $245,000 bid. A separate request has been submitted to a regional private foundation for the HVAC phase, while a regional development council request supports related public-readiness work; both applications are currently in process. Heritage Preservation Foundation will use additional private fundraising as needed to close any remaining HVAC balance.</w:t>
      </w:r>
    </w:p>
    <w:p w14:paraId="64FBF2F0" w14:textId="77777777">
      <w:r>
        <w:t>Because requests to the funder, a regional private foundation, and a regional development council may be considered on different schedules and at different award levels, Heritage Preservation Foundation will coordinate all grant awards and private contributions transparently and will adjust the funding plan as needed to reflect the final approved scope and actual installation costs.</w:t>
      </w:r>
    </w:p>
    <w:p w14:paraId="30A3D840" w14:textId="77777777">
      <w:pPr>
        <w:rPr>
          <w:sz w:val="19"/>
        </w:rPr>
      </w:pPr>
    </w:p>
    <w:p w14:paraId="18ABDAC8" w14:textId="77777777">
      <w:pPr>
        <w:pStyle w:val="ListParagraph"/>
        <w:rPr>
          <w:color w:val="000000"/>
        </w:rPr>
      </w:pPr>
    </w:p>
    <w:p w14:paraId="74CA5FFD" w14:textId="77777777"/>
    <w:sectPr>
      <w:headerReference w:type="default" r:id="rId4"/>
      <w:footerReference w:type="default" r:id="rId5"/>
      <w:pgSz w:w="12240" w:h="15840"/>
      <w:pgMar w:top="936"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A7EA52" w14:textId="77777777">
    <w:pPr>
      <w:pStyle w:val="Footer"/>
      <w:jc w:val="center"/>
    </w:pPr>
    <w:r>
      <w:rPr>
        <w:color w:val="7D7D7D"/>
        <w:sz w:val="17"/>
      </w:rPr>
      <w:t>Anonymized portfolio sample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4E1BB" w14:textId="77777777">
    <w:pPr>
      <w:pStyle w:val="Header"/>
      <w:jc w:val="right"/>
    </w:pPr>
    <w:r>
      <w:rPr>
        <w:color w:val="696969"/>
        <w:sz w:val="17"/>
      </w:rPr>
      <w:t>Heritage Preservation Foundation | Private Foundation Community Support Grant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40"/>
    <w:rsid w:val="00513298"/>
    <w:rsid w:val="005D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BE73E3"/>
  <w15:chartTrackingRefBased/>
  <w15:docId w15:val="{5CB40215-F17E-B343-8247-2E7DEF72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740"/>
    <w:pPr>
      <w:spacing w:after="100" w:line="252" w:lineRule="auto"/>
    </w:pPr>
    <w:rPr>
      <w:rFonts w:ascii="Aptos" w:eastAsia="Aptos" w:hAnsi="Aptos"/>
      <w:kern w:val="0"/>
      <w:sz w:val="20"/>
      <w:szCs w:val="22"/>
      <w14:ligatures w14:val="none"/>
    </w:rPr>
  </w:style>
  <w:style w:type="paragraph" w:styleId="Heading1">
    <w:name w:val="heading 1"/>
    <w:basedOn w:val="Normal"/>
    <w:next w:val="Normal"/>
    <w:link w:val="Heading1Char"/>
    <w:uiPriority w:val="9"/>
    <w:qFormat/>
    <w:rsid w:val="005D774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D774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D774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D7740"/>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D7740"/>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D774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D774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D774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D774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7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77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77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77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77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77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7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7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740"/>
    <w:rPr>
      <w:rFonts w:eastAsiaTheme="majorEastAsia" w:cstheme="majorBidi"/>
      <w:color w:val="272727" w:themeColor="text1" w:themeTint="D8"/>
    </w:rPr>
  </w:style>
  <w:style w:type="paragraph" w:styleId="Title">
    <w:name w:val="Title"/>
    <w:basedOn w:val="Normal"/>
    <w:next w:val="Normal"/>
    <w:link w:val="TitleChar"/>
    <w:uiPriority w:val="10"/>
    <w:qFormat/>
    <w:rsid w:val="005D774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7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74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D7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740"/>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D7740"/>
    <w:rPr>
      <w:i/>
      <w:iCs/>
      <w:color w:val="404040" w:themeColor="text1" w:themeTint="BF"/>
    </w:rPr>
  </w:style>
  <w:style w:type="paragraph" w:styleId="ListParagraph">
    <w:name w:val="List Paragraph"/>
    <w:basedOn w:val="Normal"/>
    <w:uiPriority w:val="34"/>
    <w:qFormat/>
    <w:rsid w:val="005D7740"/>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5D7740"/>
    <w:rPr>
      <w:i/>
      <w:iCs/>
      <w:color w:val="2F5496" w:themeColor="accent1" w:themeShade="BF"/>
    </w:rPr>
  </w:style>
  <w:style w:type="paragraph" w:styleId="IntenseQuote">
    <w:name w:val="Intense Quote"/>
    <w:basedOn w:val="Normal"/>
    <w:next w:val="Normal"/>
    <w:link w:val="IntenseQuoteChar"/>
    <w:uiPriority w:val="30"/>
    <w:qFormat/>
    <w:rsid w:val="005D774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D7740"/>
    <w:rPr>
      <w:i/>
      <w:iCs/>
      <w:color w:val="2F5496" w:themeColor="accent1" w:themeShade="BF"/>
    </w:rPr>
  </w:style>
  <w:style w:type="character" w:styleId="IntenseReference">
    <w:name w:val="Intense Reference"/>
    <w:basedOn w:val="DefaultParagraphFont"/>
    <w:uiPriority w:val="32"/>
    <w:qFormat/>
    <w:rsid w:val="005D7740"/>
    <w:rPr>
      <w:b/>
      <w:bCs/>
      <w:smallCaps/>
      <w:color w:val="2F5496" w:themeColor="accent1" w:themeShade="BF"/>
      <w:spacing w:val="5"/>
    </w:rPr>
  </w:style>
  <w:style w:type="paragraph" w:styleId="Header">
    <w:name w:val="header"/>
    <w:basedOn w:val="Normal"/>
    <w:link w:val="HeaderChar"/>
    <w:uiPriority w:val="99"/>
    <w:unhideWhenUsed/>
    <w:rsid w:val="005D7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740"/>
    <w:rPr>
      <w:rFonts w:ascii="Aptos" w:eastAsia="Aptos" w:hAnsi="Aptos"/>
      <w:kern w:val="0"/>
      <w:sz w:val="20"/>
      <w:szCs w:val="22"/>
      <w14:ligatures w14:val="none"/>
    </w:rPr>
  </w:style>
  <w:style w:type="paragraph" w:styleId="Footer">
    <w:name w:val="footer"/>
    <w:basedOn w:val="Normal"/>
    <w:link w:val="FooterChar"/>
    <w:uiPriority w:val="99"/>
    <w:unhideWhenUsed/>
    <w:rsid w:val="005D77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740"/>
    <w:rPr>
      <w:rFonts w:ascii="Aptos" w:eastAsia="Aptos" w:hAnsi="Aptos"/>
      <w:kern w:val="0"/>
      <w:sz w:val="20"/>
      <w:szCs w:val="22"/>
      <w14:ligatures w14:val="none"/>
    </w:rPr>
  </w:style>
  <w:style w:type="table" w:styleId="TableGrid">
    <w:name w:val="Table Grid"/>
    <w:basedOn w:val="TableNormal"/>
    <w:uiPriority w:val="59"/>
    <w:rsid w:val="005D774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2638</Words>
  <Characters>15620</Characters>
  <Application>Microsoft Office Word</Application>
  <DocSecurity>0</DocSecurity>
  <Lines>226</Lines>
  <Paragraphs>109</Paragraphs>
  <ScaleCrop>false</ScaleCrop>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Anonymized HVAC Grant Proposal – Portfolio Sample</dc:title>
  <dc:subject>Anonymized grant-writing portfolio sample</dc:subject>
  <dc:creator/>
  <cp:keywords>grant writing, capital project, HVAC, historic preservation, portfolio sample</cp:keywords>
  <dc:description>Prepared for portfolio use; identifying details have been anonymized.</dc:description>
  <cp:lastModifiedBy/>
  <cp:revision>1</cp:revision>
  <dcterms:created xsi:type="dcterms:W3CDTF">2026-07-25T00:00:00Z</dcterms:created>
  <dcterms:modified xsi:type="dcterms:W3CDTF">2026-07-25T00:00:00Z</dcterms:modified>
</cp:coreProperties>
</file>